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45" w:leader="none"/>
        </w:tabs>
        <w:jc w:val="both"/>
        <w:rPr>
          <w:b/>
          <w:b/>
          <w:sz w:val="2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behindDoc="0" distT="6350" distB="0" distL="6350" distR="0" simplePos="0" locked="0" layoutInCell="0" allowOverlap="1" relativeHeight="2" wp14:anchorId="64624B44">
                <wp:simplePos x="0" y="0"/>
                <wp:positionH relativeFrom="column">
                  <wp:posOffset>67310</wp:posOffset>
                </wp:positionH>
                <wp:positionV relativeFrom="paragraph">
                  <wp:posOffset>230505</wp:posOffset>
                </wp:positionV>
                <wp:extent cx="426085" cy="635"/>
                <wp:effectExtent l="0" t="0" r="32385" b="1905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pt,18.15pt" to="38.75pt,18.15pt" ID="Line 3" stroked="t" o:allowincell="f" style="position:absolute" wp14:anchorId="64624B44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2" w:gutter="0" w:header="709" w:top="992" w:footer="567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8"/>
          <w:tab w:val="left" w:pos="45" w:leader="none"/>
        </w:tabs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</w:t>
      </w:r>
      <w:r>
        <w:rPr>
          <w:b/>
          <w:i/>
          <w:sz w:val="22"/>
          <w:szCs w:val="22"/>
        </w:rPr>
        <w:t>KARTA INFORMACYJNA - ankieta</w:t>
      </w:r>
    </w:p>
    <w:p>
      <w:pPr>
        <w:pStyle w:val="Normal"/>
        <w:jc w:val="center"/>
        <w:rPr>
          <w:rFonts w:cs="Times New Roman"/>
          <w:b/>
          <w:b/>
          <w:i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na potrzeby wyceny usługi badania sprawozdania finansowego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tabs>
          <w:tab w:val="clear" w:pos="708"/>
          <w:tab w:val="left" w:pos="7605" w:leader="none"/>
        </w:tabs>
        <w:rPr>
          <w:rFonts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>DANE TELEADRESOWE</w:t>
        <w:tab/>
      </w:r>
    </w:p>
    <w:tbl>
      <w:tblPr>
        <w:tblW w:w="9760" w:type="dxa"/>
        <w:jc w:val="left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812"/>
        <w:gridCol w:w="2877"/>
        <w:gridCol w:w="4071"/>
      </w:tblGrid>
      <w:tr>
        <w:trPr/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Nazwa jednostki</w:t>
            </w:r>
          </w:p>
        </w:tc>
        <w:tc>
          <w:tcPr>
            <w:tcW w:w="6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Centrum Kultury i Sztuki w Koninie</w:t>
            </w:r>
          </w:p>
        </w:tc>
      </w:tr>
      <w:tr>
        <w:trPr>
          <w:trHeight w:val="253" w:hRule="atLeast"/>
        </w:trPr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69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Okólna 47a , 62-510 Konin</w:t>
            </w:r>
          </w:p>
        </w:tc>
      </w:tr>
      <w:tr>
        <w:trPr>
          <w:trHeight w:val="302" w:hRule="atLeast"/>
        </w:trPr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Telefon:63 2436350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Fax</w:t>
            </w:r>
          </w:p>
        </w:tc>
        <w:tc>
          <w:tcPr>
            <w:tcW w:w="4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e-mail; m.radziemska@ckis.konin.pl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Normal"/>
        <w:rPr>
          <w:rFonts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sz w:val="22"/>
          <w:szCs w:val="22"/>
        </w:rPr>
        <w:t>INFORMACJE O FIRMIE</w:t>
      </w:r>
    </w:p>
    <w:tbl>
      <w:tblPr>
        <w:tblW w:w="9790" w:type="dxa"/>
        <w:jc w:val="left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96"/>
        <w:gridCol w:w="4793"/>
      </w:tblGrid>
      <w:tr>
        <w:trPr/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rozpoczęcia działalności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1988.07.01</w:t>
            </w:r>
          </w:p>
        </w:tc>
      </w:tr>
      <w:tr>
        <w:trPr/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funduszu instytucji kultury 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2.124.207,15</w:t>
            </w:r>
          </w:p>
        </w:tc>
      </w:tr>
      <w:tr>
        <w:trPr>
          <w:trHeight w:val="541" w:hRule="atLeast"/>
          <w:cantSplit w:val="true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prowadzonej działalności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44" w:leader="none"/>
              </w:tabs>
              <w:ind w:left="34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PKD     9004Z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44" w:leader="none"/>
              </w:tabs>
              <w:ind w:left="34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PKD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44" w:leader="none"/>
              </w:tabs>
              <w:ind w:left="344" w:hanging="2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PKD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jakich standardów jest sporządzane sprawozdanie finansowe (MSR, MSSF,  ustawa o  rachunkowości)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MSR, ustawa o rachunkowości</w:t>
            </w:r>
          </w:p>
        </w:tc>
      </w:tr>
      <w:tr>
        <w:trPr/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który rok ostatnio badano sprawozdanie finansowe?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rok</w:t>
            </w:r>
          </w:p>
        </w:tc>
      </w:tr>
      <w:tr>
        <w:trPr/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 rodzaj opinii wydano (ostatniej)? (bez zastrzeżeń, z zastrzeżeniami, negatywna)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zastrzeżeń</w:t>
            </w:r>
          </w:p>
        </w:tc>
      </w:tr>
      <w:tr>
        <w:trPr/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przeprowadzający badanie za rok ubiegły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AKCEPT” Biuro Biegłych Rewidentów Sp. z o.o. w Koninie ul. Spółdzielców 3</w:t>
            </w:r>
          </w:p>
        </w:tc>
      </w:tr>
      <w:tr>
        <w:trPr/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badanie sprawozdania finansowego w ostatnim badanym roku – jeśli była ujawniona w sprawozdaniu finansowym.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5.904,00 zł brutto za każdy rok</w:t>
            </w:r>
          </w:p>
        </w:tc>
      </w:tr>
      <w:tr>
        <w:trPr>
          <w:trHeight w:val="360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stosowany wariant ewidencji kosztów (pełny, tylko rodzajowy, tylko kalkulacyjny)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</w:t>
            </w:r>
          </w:p>
        </w:tc>
      </w:tr>
      <w:tr>
        <w:trPr>
          <w:trHeight w:val="202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jednostka posiada sporządzona politykę rachunkowości?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x                      nie  </w:t>
            </w:r>
          </w:p>
        </w:tc>
      </w:tr>
      <w:tr>
        <w:trPr>
          <w:trHeight w:val="150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obligatoryjne czy fakultatywne?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fakultatywne</w:t>
            </w:r>
          </w:p>
        </w:tc>
      </w:tr>
      <w:tr>
        <w:trPr>
          <w:trHeight w:val="226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jest praktykowane badanie wstępne ?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                       nie  x</w:t>
            </w:r>
          </w:p>
        </w:tc>
      </w:tr>
      <w:tr>
        <w:trPr>
          <w:trHeight w:val="373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była przeprowadzona kontrola podatkowa za okres objęty badaniem? 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                       nie  x</w:t>
            </w:r>
          </w:p>
        </w:tc>
      </w:tr>
      <w:tr>
        <w:trPr>
          <w:trHeight w:val="296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jednostka korzysta z ulg podatkowych? 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                       nie  x</w:t>
            </w:r>
          </w:p>
        </w:tc>
      </w:tr>
      <w:tr>
        <w:trPr>
          <w:trHeight w:val="174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jednostka jest wielozakładowa?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                       nie  x</w:t>
            </w:r>
          </w:p>
        </w:tc>
      </w:tr>
      <w:tr>
        <w:trPr>
          <w:trHeight w:val="360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istnieje wyodrębniona organizacyjnie komórka kontroli wewnętrznej?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                       nie  x</w:t>
            </w:r>
          </w:p>
        </w:tc>
      </w:tr>
      <w:tr>
        <w:trPr>
          <w:trHeight w:val="385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jest częstotliwość i kiedy była przeprowadzona ostatnia inwentaryzacja środków trwałych :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4 lata, ostatnia inwentaryzacja 2019 r. </w:t>
            </w:r>
          </w:p>
        </w:tc>
      </w:tr>
      <w:tr>
        <w:trPr>
          <w:trHeight w:val="360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osób pracujących w dziale księgowości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kontrahentów   (firm)  (zakup, sprzedaż)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zakup       330                     sprzedaż   110</w:t>
            </w:r>
          </w:p>
        </w:tc>
      </w:tr>
      <w:tr>
        <w:trPr>
          <w:trHeight w:val="584" w:hRule="atLeast"/>
          <w:cantSplit w:val="true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średniomiesięczna ilość dokumentów źródłowych (sprzedaży i zakupu) 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ogółem: </w:t>
            </w:r>
          </w:p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zakup    150                        sprzedaż  70</w:t>
            </w:r>
            <w:bookmarkStart w:id="0" w:name="_GoBack"/>
            <w:bookmarkEnd w:id="0"/>
          </w:p>
        </w:tc>
      </w:tr>
    </w:tbl>
    <w:p>
      <w:pPr>
        <w:pStyle w:val="Normal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DANE FINANSOWE</w:t>
      </w:r>
    </w:p>
    <w:tbl>
      <w:tblPr>
        <w:tblW w:w="963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62"/>
        <w:gridCol w:w="2267"/>
        <w:gridCol w:w="2408"/>
      </w:tblGrid>
      <w:tr>
        <w:trPr/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WYSZCZEGÓLNIENIE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wielkości osiągnięte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 2020 r.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(w tys. zł)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wielkości prognozowane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na 2021 r.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(w tys. zł)</w:t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bilansowa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29 539 057,98</w:t>
            </w:r>
          </w:p>
        </w:tc>
        <w:tc>
          <w:tcPr>
            <w:tcW w:w="24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Przewidywane na poziomie 2020</w:t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Fundusz jednostki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2 124 207,15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 ze  sprzedaży  i  zrównane  z  nimi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3 834 344,06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 przychody  operacyjne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405 464,69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finansowe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3 619,34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działalności łącznie z pozostałymi kosztami operacyjnymi i finansowymi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4 009 078,85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finansowy brutto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234 149,24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zysk</w:t>
            </w:r>
            <w:r>
              <w:rPr>
                <w:sz w:val="20"/>
                <w:szCs w:val="20"/>
              </w:rPr>
              <w:t>/</w:t>
            </w:r>
            <w:r>
              <w:rPr>
                <w:kern w:val="2"/>
                <w:sz w:val="20"/>
                <w:szCs w:val="20"/>
              </w:rPr>
              <w:t>strata</w:t>
            </w:r>
            <w:r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234 149,24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aktywa trwałe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27 120 507,13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zapasy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należności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141171,51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rezerwy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424087,79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sporne: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zobowiązania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należności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zobowiązania ogółem,   w tym: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krótkoterminowe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długoterminowe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rozliczenia międzyokresowe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27 414 850,83</w:t>
            </w:r>
          </w:p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2 609 720,24</w:t>
            </w:r>
          </w:p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24 381 042,80</w:t>
            </w:r>
          </w:p>
        </w:tc>
        <w:tc>
          <w:tcPr>
            <w:tcW w:w="24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średnioroczne zatrudnienie (osoby)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ind w:right="22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INFORMACJE DODATKOWE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78"/>
        <w:gridCol w:w="3460"/>
      </w:tblGrid>
      <w:tr>
        <w:trPr/>
        <w:tc>
          <w:tcPr>
            <w:tcW w:w="61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</w:t>
            </w:r>
          </w:p>
        </w:tc>
      </w:tr>
      <w:tr>
        <w:trPr/>
        <w:tc>
          <w:tcPr>
            <w:tcW w:w="61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magazynów, częstotliwość przeprowadzania inwentaryzacji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>
        <w:trPr/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Inwentaryzacja produkcji w toku – kiedy sporządzona?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>
        <w:trPr/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kontrole zewnętrzne  w zakresie prawidłowości podatkowych i ZUS  w roku bieżącym i 2-latach poprzedzających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rPr>
          <w:trHeight w:val="148" w:hRule="atLeast"/>
        </w:trPr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przewidywana data sporządzenia sprawozdania finansowego (rozpoczęcia badania)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w zaproszeniu </w:t>
            </w:r>
          </w:p>
        </w:tc>
      </w:tr>
      <w:tr>
        <w:trPr>
          <w:trHeight w:val="196" w:hRule="atLeast"/>
        </w:trPr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preferowana data zakończenia usługi (badania)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 zaproszeniu</w:t>
            </w:r>
          </w:p>
        </w:tc>
      </w:tr>
    </w:tbl>
    <w:tbl>
      <w:tblPr>
        <w:tblStyle w:val="Tabela-Siatka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2"/>
        <w:gridCol w:w="2268"/>
        <w:gridCol w:w="2409"/>
      </w:tblGrid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spacing w:val="-4"/>
                <w:kern w:val="2"/>
                <w:sz w:val="20"/>
                <w:szCs w:val="20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b/>
                <w:b/>
                <w:i/>
                <w:i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i/>
                <w:spacing w:val="-4"/>
                <w:kern w:val="2"/>
                <w:sz w:val="20"/>
                <w:szCs w:val="20"/>
                <w:lang w:val="pl-PL" w:eastAsia="pl-PL" w:bidi="ar-SA"/>
              </w:rPr>
              <w:t>Występowanie   (tak/nie)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eastAsia="Tahoma" w:cs="Times New Roman"/>
                <w:b/>
                <w:b/>
                <w:i/>
                <w:i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i/>
                <w:spacing w:val="-4"/>
                <w:kern w:val="2"/>
                <w:sz w:val="20"/>
                <w:szCs w:val="20"/>
                <w:lang w:val="pl-PL" w:eastAsia="pl-PL" w:bidi="ar-SA"/>
              </w:rPr>
              <w:t>Uwagi</w:t>
            </w:r>
          </w:p>
        </w:tc>
      </w:tr>
      <w:tr>
        <w:trPr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  <w:lang w:val="pl-PL" w:eastAsia="pl-PL" w:bidi="ar-SA"/>
              </w:rPr>
              <w:t xml:space="preserve">leasing operacyjny / finansowy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      nie  x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  <w:lang w:val="pl-PL" w:eastAsia="pl-PL" w:bidi="ar-SA"/>
              </w:rPr>
              <w:t xml:space="preserve">dostawy / nabycia wewnątrzwspólnotowe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      nie  x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  <w:lang w:val="pl-PL" w:eastAsia="pl-PL" w:bidi="ar-SA"/>
              </w:rPr>
              <w:t xml:space="preserve">eksport / import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      nie  x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  <w:lang w:val="pl-PL" w:eastAsia="pl-PL" w:bidi="ar-SA"/>
              </w:rPr>
              <w:t>pożyczki / kredyty (krajowe / zagraniczne) długoterminowe / krótkoterminowe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x      nie  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  <w:lang w:val="pl-PL" w:eastAsia="pl-PL" w:bidi="ar-SA"/>
              </w:rPr>
              <w:t>dotacje / dopłaty / fundusze unijne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      nie  x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  <w:lang w:val="pl-PL" w:eastAsia="pl-PL" w:bidi="ar-SA"/>
              </w:rPr>
              <w:t>instrumenty finansowe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      nie x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</w:rPr>
            </w:r>
          </w:p>
        </w:tc>
      </w:tr>
      <w:tr>
        <w:trPr/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  <w:lang w:val="pl-PL" w:eastAsia="pl-PL" w:bidi="ar-SA"/>
              </w:rPr>
              <w:t>ilość osób w dziale księgowości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x      nie  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  <w:lang w:val="pl-PL" w:eastAsia="pl-PL" w:bidi="ar-SA"/>
              </w:rPr>
              <w:t>3</w:t>
            </w:r>
          </w:p>
        </w:tc>
      </w:tr>
      <w:tr>
        <w:trPr/>
        <w:tc>
          <w:tcPr>
            <w:tcW w:w="4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  <w:lang w:val="pl-PL" w:eastAsia="pl-PL" w:bidi="ar-SA"/>
              </w:rPr>
              <w:t>czy zmienił się wiodący personel finansowo-księgowy?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val="pl-PL" w:eastAsia="pl-PL" w:bidi="ar-SA"/>
              </w:rPr>
              <w:t>tak       nie  x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eastAsia="Tahoma" w:cs="Times New Roman"/>
                <w:kern w:val="2"/>
                <w:sz w:val="20"/>
                <w:szCs w:val="20"/>
              </w:rPr>
            </w:pPr>
            <w:r>
              <w:rPr>
                <w:rFonts w:eastAsia="Tahoma" w:cs="Times New Roman"/>
                <w:kern w:val="2"/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Tahoma" w:cs="Times New Roman"/>
          <w:b/>
          <w:b/>
          <w:bCs/>
          <w:kern w:val="2"/>
          <w:sz w:val="20"/>
          <w:szCs w:val="20"/>
        </w:rPr>
      </w:pPr>
      <w:r>
        <w:rPr/>
      </w:r>
    </w:p>
    <w:sectPr>
      <w:type w:val="continuous"/>
      <w:pgSz w:w="11906" w:h="16838"/>
      <w:pgMar w:left="1134" w:right="1132" w:gutter="0" w:header="709" w:top="992" w:footer="567" w:bottom="85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08"/>
        <w:tab w:val="left" w:pos="4380" w:leader="none"/>
      </w:tabs>
      <w:jc w:val="center"/>
      <w:rPr>
        <w:b/>
        <w:b/>
        <w:bCs/>
        <w:sz w:val="20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>
        <w:rFonts w:cs="Arial"/>
        <w:b/>
        <w:sz w:val="2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>
    <w:pPr>
      <w:pStyle w:val="Standard"/>
      <w:tabs>
        <w:tab w:val="clear" w:pos="708"/>
        <w:tab w:val="left" w:pos="45" w:leader="none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298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c423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erstrony1" w:customStyle="1">
    <w:name w:val="Numer strony1"/>
    <w:basedOn w:val="DefaultParagraphFont"/>
    <w:qFormat/>
    <w:rsid w:val="00ef4de5"/>
    <w:rPr/>
  </w:style>
  <w:style w:type="character" w:styleId="Znakinumeracji" w:customStyle="1">
    <w:name w:val="Znaki numeracji"/>
    <w:qFormat/>
    <w:rsid w:val="00ef4de5"/>
    <w:rPr>
      <w:b/>
      <w:bCs/>
    </w:rPr>
  </w:style>
  <w:style w:type="character" w:styleId="Znakiwypunktowania" w:customStyle="1">
    <w:name w:val="Znaki wypunktowania"/>
    <w:qFormat/>
    <w:rsid w:val="00ef4de5"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c85d7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f4d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f4de5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c423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64b3"/>
    <w:rPr>
      <w:rFonts w:ascii="Tahoma" w:hAnsi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ef4de5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ef4de5"/>
    <w:pPr>
      <w:suppressLineNumbers/>
    </w:pPr>
    <w:rPr>
      <w:rFonts w:cs="Tahoma"/>
    </w:rPr>
  </w:style>
  <w:style w:type="paragraph" w:styleId="Standard" w:customStyle="1">
    <w:name w:val="Standard"/>
    <w:qFormat/>
    <w:rsid w:val="00ef4de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Textbody" w:customStyle="1">
    <w:name w:val="Text body"/>
    <w:basedOn w:val="Standard"/>
    <w:qFormat/>
    <w:rsid w:val="00ef4de5"/>
    <w:pPr>
      <w:spacing w:before="0" w:after="120"/>
    </w:pPr>
    <w:rPr/>
  </w:style>
  <w:style w:type="paragraph" w:styleId="Legenda1" w:customStyle="1">
    <w:name w:val="Legenda1"/>
    <w:basedOn w:val="Standard"/>
    <w:qFormat/>
    <w:rsid w:val="00ef4de5"/>
    <w:pPr>
      <w:suppressLineNumbers/>
      <w:spacing w:before="120" w:after="120"/>
    </w:pPr>
    <w:rPr>
      <w:rFonts w:cs="Tahoma"/>
      <w:i/>
      <w:iCs/>
      <w:sz w:val="20"/>
    </w:rPr>
  </w:style>
  <w:style w:type="paragraph" w:styleId="Nagwek11" w:customStyle="1">
    <w:name w:val="Nagłówek1"/>
    <w:basedOn w:val="Standard"/>
    <w:next w:val="Textbody"/>
    <w:qFormat/>
    <w:rsid w:val="00ef4de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111" w:customStyle="1">
    <w:name w:val="Nagłówek 11"/>
    <w:basedOn w:val="Standard"/>
    <w:next w:val="Standard"/>
    <w:qFormat/>
    <w:rsid w:val="00ef4de5"/>
    <w:pPr>
      <w:keepNext w:val="true"/>
      <w:tabs>
        <w:tab w:val="clear" w:pos="708"/>
        <w:tab w:val="left" w:pos="1080" w:leader="none"/>
        <w:tab w:val="left" w:pos="3885" w:leader="none"/>
        <w:tab w:val="left" w:pos="6120" w:leader="none"/>
      </w:tabs>
    </w:pPr>
    <w:rPr>
      <w:b/>
      <w:szCs w:val="24"/>
    </w:rPr>
  </w:style>
  <w:style w:type="paragraph" w:styleId="Stopka1" w:customStyle="1">
    <w:name w:val="Stopka1"/>
    <w:basedOn w:val="Standard"/>
    <w:qFormat/>
    <w:rsid w:val="00ef4d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extbody"/>
    <w:qFormat/>
    <w:rsid w:val="00ef4de5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f4d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f4d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22e5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c423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fa50b8"/>
    <w:pPr>
      <w:suppressLineNumbers/>
      <w:textAlignment w:val="auto"/>
    </w:pPr>
    <w:rPr>
      <w:rFonts w:eastAsia="Tahoma" w:cs="Times New Roman"/>
      <w:kern w:val="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64b3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22e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4C5F-9F40-42CA-98C5-7F6C2C9E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LibreOffice/7.2.0.4$Windows_X86_64 LibreOffice_project/9a9c6381e3f7a62afc1329bd359cc48accb6435b</Application>
  <AppVersion>15.0000</AppVersion>
  <Pages>2</Pages>
  <Words>495</Words>
  <Characters>3025</Characters>
  <CharactersWithSpaces>3741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2021-09-16T08:13:00Z</dcterms:created>
  <dc:creator>Aristo</dc:creator>
  <dc:description/>
  <dc:language>pl-PL</dc:language>
  <cp:lastModifiedBy/>
  <cp:lastPrinted>2016-06-13T06:30:00Z</cp:lastPrinted>
  <dcterms:modified xsi:type="dcterms:W3CDTF">2021-09-16T10:59:39Z</dcterms:modified>
  <cp:revision>3</cp:revision>
  <dc:subject/>
  <dc:title>SZPROTAWSKI ZARZĄD NIERUCHOMOŚCIAMI „ CHROBRY ” 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